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76" w:rsidRDefault="00365976" w:rsidP="009F4FA1">
      <w:pPr>
        <w:pStyle w:val="NormaleWeb"/>
        <w:jc w:val="center"/>
        <w:rPr>
          <w:rFonts w:ascii="Tw Cen MT" w:hAnsi="Tw Cen MT"/>
          <w:b/>
          <w:sz w:val="44"/>
          <w:szCs w:val="44"/>
        </w:rPr>
      </w:pPr>
      <w:r>
        <w:rPr>
          <w:rFonts w:ascii="Tw Cen MT" w:hAnsi="Tw Cen MT"/>
          <w:b/>
          <w:sz w:val="44"/>
          <w:szCs w:val="44"/>
        </w:rPr>
        <w:t>Mobilità elettrica, essere pronti a cosa?</w:t>
      </w:r>
    </w:p>
    <w:p w:rsidR="006C5737" w:rsidRPr="009F4FA1" w:rsidRDefault="0037369B" w:rsidP="009F4FA1">
      <w:pPr>
        <w:pStyle w:val="NormaleWeb"/>
        <w:jc w:val="center"/>
        <w:rPr>
          <w:rFonts w:ascii="Tw Cen MT" w:hAnsi="Tw Cen MT"/>
          <w:i/>
          <w:sz w:val="32"/>
          <w:szCs w:val="32"/>
        </w:rPr>
      </w:pPr>
      <w:r>
        <w:rPr>
          <w:rFonts w:ascii="Tw Cen MT" w:hAnsi="Tw Cen MT"/>
          <w:i/>
          <w:sz w:val="32"/>
          <w:szCs w:val="32"/>
        </w:rPr>
        <w:t>Il nuovo consenso sul futuro della mobilità individuale</w:t>
      </w:r>
      <w:r w:rsidR="00276BB2">
        <w:rPr>
          <w:rFonts w:ascii="Tw Cen MT" w:hAnsi="Tw Cen MT"/>
          <w:i/>
          <w:sz w:val="32"/>
          <w:szCs w:val="32"/>
        </w:rPr>
        <w:t>:</w:t>
      </w:r>
      <w:r w:rsidR="00FF3D56">
        <w:rPr>
          <w:rFonts w:ascii="Tw Cen MT" w:hAnsi="Tw Cen MT"/>
          <w:i/>
          <w:sz w:val="32"/>
          <w:szCs w:val="32"/>
        </w:rPr>
        <w:t xml:space="preserve"> </w:t>
      </w:r>
      <w:r>
        <w:rPr>
          <w:rFonts w:ascii="Tw Cen MT" w:hAnsi="Tw Cen MT"/>
          <w:i/>
          <w:sz w:val="32"/>
          <w:szCs w:val="32"/>
        </w:rPr>
        <w:t xml:space="preserve">sarà </w:t>
      </w:r>
      <w:r w:rsidR="00EB2E40">
        <w:rPr>
          <w:rFonts w:ascii="Tw Cen MT" w:hAnsi="Tw Cen MT"/>
          <w:i/>
          <w:sz w:val="32"/>
          <w:szCs w:val="32"/>
        </w:rPr>
        <w:t xml:space="preserve">a trazione </w:t>
      </w:r>
      <w:r>
        <w:rPr>
          <w:rFonts w:ascii="Tw Cen MT" w:hAnsi="Tw Cen MT"/>
          <w:i/>
          <w:sz w:val="32"/>
          <w:szCs w:val="32"/>
        </w:rPr>
        <w:t xml:space="preserve">elettrica, e da quasi subito. </w:t>
      </w:r>
      <w:r w:rsidR="007B3800">
        <w:rPr>
          <w:rFonts w:ascii="Tw Cen MT" w:hAnsi="Tw Cen MT"/>
          <w:i/>
          <w:sz w:val="32"/>
          <w:szCs w:val="32"/>
        </w:rPr>
        <w:t>Qualche riflessione sulle implicazioni, in attesa del Forum Nazionale della Mobilità Elettrica nella Future</w:t>
      </w:r>
      <w:r>
        <w:rPr>
          <w:rFonts w:ascii="Tw Cen MT" w:hAnsi="Tw Cen MT"/>
          <w:i/>
          <w:sz w:val="32"/>
          <w:szCs w:val="32"/>
        </w:rPr>
        <w:t xml:space="preserve"> </w:t>
      </w:r>
      <w:proofErr w:type="spellStart"/>
      <w:r>
        <w:rPr>
          <w:rFonts w:ascii="Tw Cen MT" w:hAnsi="Tw Cen MT"/>
          <w:i/>
          <w:sz w:val="32"/>
          <w:szCs w:val="32"/>
        </w:rPr>
        <w:t>Mobility</w:t>
      </w:r>
      <w:proofErr w:type="spellEnd"/>
      <w:r>
        <w:rPr>
          <w:rFonts w:ascii="Tw Cen MT" w:hAnsi="Tw Cen MT"/>
          <w:i/>
          <w:sz w:val="32"/>
          <w:szCs w:val="32"/>
        </w:rPr>
        <w:t xml:space="preserve"> Week </w:t>
      </w:r>
      <w:r w:rsidR="007B3800">
        <w:rPr>
          <w:rFonts w:ascii="Tw Cen MT" w:hAnsi="Tw Cen MT"/>
          <w:i/>
          <w:sz w:val="32"/>
          <w:szCs w:val="32"/>
        </w:rPr>
        <w:t xml:space="preserve">di </w:t>
      </w:r>
      <w:r w:rsidR="009F4FA1" w:rsidRPr="009F4FA1">
        <w:rPr>
          <w:rFonts w:ascii="Tw Cen MT" w:hAnsi="Tw Cen MT"/>
          <w:i/>
          <w:sz w:val="32"/>
          <w:szCs w:val="32"/>
        </w:rPr>
        <w:t xml:space="preserve">Torino </w:t>
      </w:r>
      <w:r w:rsidR="007B3800">
        <w:rPr>
          <w:rFonts w:ascii="Tw Cen MT" w:hAnsi="Tw Cen MT"/>
          <w:i/>
          <w:sz w:val="32"/>
          <w:szCs w:val="32"/>
        </w:rPr>
        <w:t>il 3 ottobre</w:t>
      </w:r>
    </w:p>
    <w:p w:rsidR="006C5737" w:rsidRDefault="006C5737" w:rsidP="003A72DB">
      <w:pPr>
        <w:pStyle w:val="NormaleWeb"/>
        <w:rPr>
          <w:rFonts w:ascii="Tw Cen MT" w:hAnsi="Tw Cen MT"/>
        </w:rPr>
      </w:pPr>
    </w:p>
    <w:p w:rsidR="007B3800" w:rsidRDefault="009F4FA1" w:rsidP="003A72DB">
      <w:pPr>
        <w:pStyle w:val="NormaleWeb"/>
        <w:rPr>
          <w:rFonts w:ascii="Tw Cen MT" w:hAnsi="Tw Cen MT"/>
        </w:rPr>
      </w:pPr>
      <w:r w:rsidRPr="00B061F4">
        <w:rPr>
          <w:rFonts w:ascii="Tw Cen MT" w:hAnsi="Tw Cen MT"/>
          <w:i/>
        </w:rPr>
        <w:t xml:space="preserve">Torino, </w:t>
      </w:r>
      <w:r w:rsidR="00FF3D56">
        <w:rPr>
          <w:rFonts w:ascii="Tw Cen MT" w:hAnsi="Tw Cen MT"/>
          <w:i/>
        </w:rPr>
        <w:t>19</w:t>
      </w:r>
      <w:r w:rsidR="0037369B">
        <w:rPr>
          <w:rFonts w:ascii="Tw Cen MT" w:hAnsi="Tw Cen MT"/>
          <w:i/>
        </w:rPr>
        <w:t xml:space="preserve"> luglio </w:t>
      </w:r>
      <w:r w:rsidRPr="00B061F4">
        <w:rPr>
          <w:rFonts w:ascii="Tw Cen MT" w:hAnsi="Tw Cen MT"/>
          <w:i/>
        </w:rPr>
        <w:t>2018</w:t>
      </w:r>
      <w:r>
        <w:rPr>
          <w:rFonts w:ascii="Tw Cen MT" w:hAnsi="Tw Cen MT"/>
        </w:rPr>
        <w:t xml:space="preserve">. </w:t>
      </w:r>
      <w:r w:rsidR="007B3800">
        <w:rPr>
          <w:rFonts w:ascii="Tw Cen MT" w:hAnsi="Tw Cen MT"/>
        </w:rPr>
        <w:t xml:space="preserve"> Il futuro della mobilità individuale sa</w:t>
      </w:r>
      <w:r w:rsidR="00EB2E40">
        <w:rPr>
          <w:rFonts w:ascii="Tw Cen MT" w:hAnsi="Tw Cen MT"/>
        </w:rPr>
        <w:t xml:space="preserve">rà elettrico. Il consenso su </w:t>
      </w:r>
      <w:r w:rsidR="007B3800">
        <w:rPr>
          <w:rFonts w:ascii="Tw Cen MT" w:hAnsi="Tw Cen MT"/>
        </w:rPr>
        <w:t xml:space="preserve">questo è di lunga data. Negli ultimi due anni, però, </w:t>
      </w:r>
      <w:bookmarkStart w:id="0" w:name="_GoBack"/>
      <w:bookmarkEnd w:id="0"/>
      <w:r w:rsidR="009C4C13">
        <w:rPr>
          <w:rFonts w:ascii="Tw Cen MT" w:hAnsi="Tw Cen MT"/>
        </w:rPr>
        <w:t xml:space="preserve">il futuro è diventato futuro </w:t>
      </w:r>
      <w:r w:rsidR="00F44EA9">
        <w:rPr>
          <w:rFonts w:ascii="Tw Cen MT" w:hAnsi="Tw Cen MT"/>
        </w:rPr>
        <w:t xml:space="preserve">(più) </w:t>
      </w:r>
      <w:r w:rsidR="009C4C13">
        <w:rPr>
          <w:rFonts w:ascii="Tw Cen MT" w:hAnsi="Tw Cen MT"/>
        </w:rPr>
        <w:t xml:space="preserve">prossimo. </w:t>
      </w:r>
      <w:r w:rsidR="00565932">
        <w:rPr>
          <w:rFonts w:ascii="Tw Cen MT" w:hAnsi="Tw Cen MT"/>
        </w:rPr>
        <w:t xml:space="preserve">Per restare a stime non legate alle Case o a lobby varie, </w:t>
      </w:r>
      <w:r w:rsidR="00CF7CBA">
        <w:rPr>
          <w:rFonts w:ascii="Tw Cen MT" w:hAnsi="Tw Cen MT"/>
        </w:rPr>
        <w:t xml:space="preserve">per il nostro Paese </w:t>
      </w:r>
      <w:r w:rsidR="00EB2E40">
        <w:rPr>
          <w:rFonts w:ascii="Tw Cen MT" w:hAnsi="Tw Cen MT"/>
        </w:rPr>
        <w:t xml:space="preserve">si </w:t>
      </w:r>
      <w:r w:rsidR="00CF7CBA">
        <w:rPr>
          <w:rFonts w:ascii="Tw Cen MT" w:hAnsi="Tw Cen MT"/>
        </w:rPr>
        <w:t>prevede</w:t>
      </w:r>
      <w:r w:rsidR="00EB2E40">
        <w:rPr>
          <w:rFonts w:ascii="Tw Cen MT" w:hAnsi="Tw Cen MT"/>
        </w:rPr>
        <w:t xml:space="preserve">* che nel 2030 saranno in circolazione </w:t>
      </w:r>
      <w:r w:rsidR="00CF7CBA">
        <w:rPr>
          <w:rFonts w:ascii="Tw Cen MT" w:hAnsi="Tw Cen MT"/>
        </w:rPr>
        <w:t>6,5 milioni di veicoli elettrici</w:t>
      </w:r>
      <w:r w:rsidR="00EB2E40">
        <w:rPr>
          <w:rFonts w:ascii="Tw Cen MT" w:hAnsi="Tw Cen MT"/>
        </w:rPr>
        <w:t xml:space="preserve"> </w:t>
      </w:r>
      <w:r w:rsidR="00276BB2">
        <w:rPr>
          <w:rFonts w:ascii="Tw Cen MT" w:hAnsi="Tw Cen MT"/>
        </w:rPr>
        <w:t>(alimentati a batteria),</w:t>
      </w:r>
      <w:r w:rsidR="00EB2E40">
        <w:rPr>
          <w:rFonts w:ascii="Tw Cen MT" w:hAnsi="Tw Cen MT"/>
        </w:rPr>
        <w:t xml:space="preserve"> </w:t>
      </w:r>
      <w:r w:rsidR="00CF7CBA">
        <w:rPr>
          <w:rFonts w:ascii="Tw Cen MT" w:hAnsi="Tw Cen MT"/>
        </w:rPr>
        <w:t xml:space="preserve">ossia il 17% del parco </w:t>
      </w:r>
      <w:r w:rsidR="00EB2E40">
        <w:rPr>
          <w:rFonts w:ascii="Tw Cen MT" w:hAnsi="Tw Cen MT"/>
        </w:rPr>
        <w:t xml:space="preserve">circolante </w:t>
      </w:r>
      <w:r w:rsidR="00CF7CBA">
        <w:rPr>
          <w:rFonts w:ascii="Tw Cen MT" w:hAnsi="Tw Cen MT"/>
        </w:rPr>
        <w:t>attuale.</w:t>
      </w:r>
    </w:p>
    <w:p w:rsidR="00CF7CBA" w:rsidRDefault="00EB2E40" w:rsidP="003A72DB">
      <w:pPr>
        <w:pStyle w:val="NormaleWeb"/>
        <w:rPr>
          <w:rFonts w:ascii="Tw Cen MT" w:hAnsi="Tw Cen MT"/>
        </w:rPr>
      </w:pPr>
      <w:r>
        <w:rPr>
          <w:rFonts w:ascii="Tw Cen MT" w:hAnsi="Tw Cen MT"/>
        </w:rPr>
        <w:t>Quali le conseguenze?</w:t>
      </w:r>
      <w:r w:rsidR="00CF7CBA">
        <w:rPr>
          <w:rFonts w:ascii="Tw Cen MT" w:hAnsi="Tw Cen MT"/>
        </w:rPr>
        <w:t xml:space="preserve"> Il tasso di sostituzione del parco circolante in Italia è del 5% l’anno</w:t>
      </w:r>
      <w:r w:rsidR="00276BB2">
        <w:rPr>
          <w:rFonts w:ascii="Tw Cen MT" w:hAnsi="Tw Cen MT"/>
        </w:rPr>
        <w:t xml:space="preserve">. </w:t>
      </w:r>
      <w:r w:rsidR="00CF7CBA">
        <w:rPr>
          <w:rFonts w:ascii="Tw Cen MT" w:hAnsi="Tw Cen MT"/>
        </w:rPr>
        <w:t xml:space="preserve">Essendo improbabile che </w:t>
      </w:r>
      <w:r>
        <w:rPr>
          <w:rFonts w:ascii="Tw Cen MT" w:hAnsi="Tw Cen MT"/>
        </w:rPr>
        <w:t>questa percentuale</w:t>
      </w:r>
      <w:r w:rsidR="00CF7CBA">
        <w:rPr>
          <w:rFonts w:ascii="Tw Cen MT" w:hAnsi="Tw Cen MT"/>
        </w:rPr>
        <w:t xml:space="preserve"> cambi di molto in futuro, la crescita dell’elettrico dovrebbe arrivare dal cambio delle scelte dei consumatori. </w:t>
      </w:r>
      <w:r w:rsidR="000936BA">
        <w:rPr>
          <w:rFonts w:ascii="Tw Cen MT" w:hAnsi="Tw Cen MT"/>
        </w:rPr>
        <w:t>In numeri</w:t>
      </w:r>
      <w:r w:rsidR="00276BB2">
        <w:rPr>
          <w:rFonts w:ascii="Tw Cen MT" w:hAnsi="Tw Cen MT"/>
        </w:rPr>
        <w:t>:</w:t>
      </w:r>
      <w:r w:rsidR="000936BA">
        <w:rPr>
          <w:rFonts w:ascii="Tw Cen MT" w:hAnsi="Tw Cen MT"/>
        </w:rPr>
        <w:t xml:space="preserve"> la quota dell’elettrico </w:t>
      </w:r>
      <w:r>
        <w:rPr>
          <w:rFonts w:ascii="Tw Cen MT" w:hAnsi="Tw Cen MT"/>
        </w:rPr>
        <w:t xml:space="preserve">nei veicoli di nuova immatricolazione </w:t>
      </w:r>
      <w:r w:rsidR="000936BA">
        <w:rPr>
          <w:rFonts w:ascii="Tw Cen MT" w:hAnsi="Tw Cen MT"/>
        </w:rPr>
        <w:t>dovrà passare dall’0,</w:t>
      </w:r>
      <w:r w:rsidR="006E2EA5">
        <w:rPr>
          <w:rFonts w:ascii="Tw Cen MT" w:hAnsi="Tw Cen MT"/>
        </w:rPr>
        <w:t xml:space="preserve">1 attuale al 48% nel 2030. </w:t>
      </w:r>
      <w:r w:rsidR="00276BB2">
        <w:rPr>
          <w:rFonts w:ascii="Tw Cen MT" w:hAnsi="Tw Cen MT"/>
        </w:rPr>
        <w:t>P</w:t>
      </w:r>
      <w:r w:rsidR="000936BA">
        <w:rPr>
          <w:rFonts w:ascii="Tw Cen MT" w:hAnsi="Tw Cen MT"/>
        </w:rPr>
        <w:t>er arrivarci,</w:t>
      </w:r>
      <w:r w:rsidR="00276BB2">
        <w:rPr>
          <w:rFonts w:ascii="Tw Cen MT" w:hAnsi="Tw Cen MT"/>
        </w:rPr>
        <w:t xml:space="preserve"> però,</w:t>
      </w:r>
      <w:r w:rsidR="000936BA">
        <w:rPr>
          <w:rFonts w:ascii="Tw Cen MT" w:hAnsi="Tw Cen MT"/>
        </w:rPr>
        <w:t xml:space="preserve"> già nel 2019 un’auto nuova su dieci dovrebbe essere elettrica (stima Terna 2018). Qualcuno dice che un aiuto verrebbe dal nostro parco circolante particolarmente vecchio, ma la maggior parte delle auto con età superiore a 10 anni si trova in zone del Paese dove l’infrastruttura di rica</w:t>
      </w:r>
      <w:r>
        <w:rPr>
          <w:rFonts w:ascii="Tw Cen MT" w:hAnsi="Tw Cen MT"/>
        </w:rPr>
        <w:t>rica è praticamente inesistente e sembra azzardato, anche in presenza di incentivi, ritenere l’ipotesi realistica.</w:t>
      </w:r>
    </w:p>
    <w:p w:rsidR="000936BA" w:rsidRDefault="00276BB2" w:rsidP="003A72DB">
      <w:pPr>
        <w:pStyle w:val="NormaleWeb"/>
        <w:rPr>
          <w:rFonts w:ascii="Tw Cen MT" w:hAnsi="Tw Cen MT"/>
        </w:rPr>
      </w:pPr>
      <w:r>
        <w:rPr>
          <w:rFonts w:ascii="Tw Cen MT" w:hAnsi="Tw Cen MT"/>
        </w:rPr>
        <w:t xml:space="preserve">Seconda considerazione. </w:t>
      </w:r>
      <w:r w:rsidR="00343F46">
        <w:rPr>
          <w:rFonts w:ascii="Tw Cen MT" w:hAnsi="Tw Cen MT"/>
        </w:rPr>
        <w:t>Ogni cosa che si muove ha bisogno di energia per farlo: di quanta elettricità avranno bisogno 6,5 milioni di auto</w:t>
      </w:r>
      <w:r w:rsidR="00EF7BAC">
        <w:rPr>
          <w:rFonts w:ascii="Tw Cen MT" w:hAnsi="Tw Cen MT"/>
        </w:rPr>
        <w:t>? Un recente studio di Terna, la</w:t>
      </w:r>
      <w:r w:rsidR="00343F46">
        <w:rPr>
          <w:rFonts w:ascii="Tw Cen MT" w:hAnsi="Tw Cen MT"/>
        </w:rPr>
        <w:t xml:space="preserve"> quanti</w:t>
      </w:r>
      <w:r w:rsidR="00436674">
        <w:rPr>
          <w:rFonts w:ascii="Tw Cen MT" w:hAnsi="Tw Cen MT"/>
        </w:rPr>
        <w:t>fica in 2,5TW</w:t>
      </w:r>
      <w:r w:rsidR="00343F46">
        <w:rPr>
          <w:rFonts w:ascii="Tw Cen MT" w:hAnsi="Tw Cen MT"/>
        </w:rPr>
        <w:t>/h l’anno</w:t>
      </w:r>
      <w:r w:rsidR="00436674">
        <w:rPr>
          <w:rFonts w:ascii="Tw Cen MT" w:hAnsi="Tw Cen MT"/>
        </w:rPr>
        <w:t xml:space="preserve"> per milione di veicoli. Quindi al 2030 l’auto elettrica porterebbe una </w:t>
      </w:r>
      <w:r w:rsidR="00EB2E40">
        <w:rPr>
          <w:rFonts w:ascii="Tw Cen MT" w:hAnsi="Tw Cen MT"/>
        </w:rPr>
        <w:t>richiesta</w:t>
      </w:r>
      <w:r w:rsidR="00436674">
        <w:rPr>
          <w:rFonts w:ascii="Tw Cen MT" w:hAnsi="Tw Cen MT"/>
        </w:rPr>
        <w:t xml:space="preserve"> aggiuntiva </w:t>
      </w:r>
      <w:r w:rsidR="00EF7BAC">
        <w:rPr>
          <w:rFonts w:ascii="Tw Cen MT" w:hAnsi="Tw Cen MT"/>
        </w:rPr>
        <w:t>di 16 TW/h, circa il 5,2% della domanda 2016. Ma c’è un ma: i calcoli di Terna si riferiscono a</w:t>
      </w:r>
      <w:r w:rsidR="00EB2E40">
        <w:rPr>
          <w:rFonts w:ascii="Tw Cen MT" w:hAnsi="Tw Cen MT"/>
        </w:rPr>
        <w:t xml:space="preserve">i consumi previsti per </w:t>
      </w:r>
      <w:r w:rsidR="00EF7BAC">
        <w:rPr>
          <w:rFonts w:ascii="Tw Cen MT" w:hAnsi="Tw Cen MT"/>
        </w:rPr>
        <w:t xml:space="preserve">veicoli piccoli e a percorsi brevi, </w:t>
      </w:r>
      <w:r w:rsidR="00EB2E40">
        <w:rPr>
          <w:rFonts w:ascii="Tw Cen MT" w:hAnsi="Tw Cen MT"/>
        </w:rPr>
        <w:t>in media</w:t>
      </w:r>
      <w:r w:rsidR="00EF7BAC">
        <w:rPr>
          <w:rFonts w:ascii="Tw Cen MT" w:hAnsi="Tw Cen MT"/>
        </w:rPr>
        <w:t xml:space="preserve">10.000 km l’anno. Con il 48% delle immatricolazioni </w:t>
      </w:r>
      <w:r w:rsidR="00EB2E40">
        <w:rPr>
          <w:rFonts w:ascii="Tw Cen MT" w:hAnsi="Tw Cen MT"/>
        </w:rPr>
        <w:t xml:space="preserve">assegnabili a veicoli elettrici, </w:t>
      </w:r>
      <w:r w:rsidR="00EF7BAC">
        <w:rPr>
          <w:rFonts w:ascii="Tw Cen MT" w:hAnsi="Tw Cen MT"/>
        </w:rPr>
        <w:t xml:space="preserve">ci sarebbe da attendersi un mix di </w:t>
      </w:r>
      <w:r w:rsidR="007306C4">
        <w:rPr>
          <w:rFonts w:ascii="Tw Cen MT" w:hAnsi="Tw Cen MT"/>
        </w:rPr>
        <w:t xml:space="preserve">veicoli e di </w:t>
      </w:r>
      <w:r w:rsidR="00EF7BAC">
        <w:rPr>
          <w:rFonts w:ascii="Tw Cen MT" w:hAnsi="Tw Cen MT"/>
        </w:rPr>
        <w:t>utilizzi più variegato.</w:t>
      </w:r>
      <w:r w:rsidR="007306C4">
        <w:rPr>
          <w:rFonts w:ascii="Tw Cen MT" w:hAnsi="Tw Cen MT"/>
        </w:rPr>
        <w:t xml:space="preserve"> (una c</w:t>
      </w:r>
      <w:r>
        <w:rPr>
          <w:rFonts w:ascii="Tw Cen MT" w:hAnsi="Tw Cen MT"/>
        </w:rPr>
        <w:t>riflessione</w:t>
      </w:r>
      <w:r w:rsidR="007306C4">
        <w:rPr>
          <w:rFonts w:ascii="Tw Cen MT" w:hAnsi="Tw Cen MT"/>
        </w:rPr>
        <w:t xml:space="preserve"> a margine: se le previsioni sulla riduzione del possesso di automobili a seguito della crescita dello sharing e di altre modalità di mobilità individuale sono sensate, la categoria di veicoli che sarà più toccata dalla riduzione è proprio quella delle piccole a percorrenze limitate, usate per lo più in ambito urbano</w:t>
      </w:r>
      <w:r>
        <w:rPr>
          <w:rFonts w:ascii="Tw Cen MT" w:hAnsi="Tw Cen MT"/>
        </w:rPr>
        <w:t xml:space="preserve">, un motivo in più per ritenere che il parco elettrico sarà più variegato </w:t>
      </w:r>
      <w:r w:rsidR="007306C4">
        <w:rPr>
          <w:rFonts w:ascii="Tw Cen MT" w:hAnsi="Tw Cen MT"/>
        </w:rPr>
        <w:t>…)</w:t>
      </w:r>
    </w:p>
    <w:p w:rsidR="00EF7BAC" w:rsidRDefault="00276BB2" w:rsidP="003A72DB">
      <w:pPr>
        <w:pStyle w:val="NormaleWeb"/>
        <w:rPr>
          <w:rFonts w:ascii="Tw Cen MT" w:hAnsi="Tw Cen MT"/>
        </w:rPr>
      </w:pPr>
      <w:r>
        <w:rPr>
          <w:rFonts w:ascii="Tw Cen MT" w:hAnsi="Tw Cen MT"/>
        </w:rPr>
        <w:t>Infine, u</w:t>
      </w:r>
      <w:r w:rsidR="007A29BE">
        <w:rPr>
          <w:rFonts w:ascii="Tw Cen MT" w:hAnsi="Tw Cen MT"/>
        </w:rPr>
        <w:t xml:space="preserve">n pacco batterie da 50 kW/h (200 Km di autonomia su un veicolo piccolo) </w:t>
      </w:r>
      <w:r w:rsidR="00667ACA">
        <w:rPr>
          <w:rFonts w:ascii="Tw Cen MT" w:hAnsi="Tw Cen MT"/>
        </w:rPr>
        <w:t>richiede 12 ore a ricaricarsi con una normale utenza domestica da 3,5 kW,</w:t>
      </w:r>
      <w:r w:rsidR="00F44EA9">
        <w:rPr>
          <w:rFonts w:ascii="Tw Cen MT" w:hAnsi="Tw Cen MT"/>
        </w:rPr>
        <w:t xml:space="preserve"> e</w:t>
      </w:r>
      <w:r w:rsidR="00667ACA">
        <w:rPr>
          <w:rFonts w:ascii="Tw Cen MT" w:hAnsi="Tw Cen MT"/>
        </w:rPr>
        <w:t xml:space="preserve"> 6 ore con un’utenza potenziata a 7,5 kW, sempre in assorbimento esclusivo</w:t>
      </w:r>
      <w:r w:rsidR="007306C4">
        <w:rPr>
          <w:rFonts w:ascii="Tw Cen MT" w:hAnsi="Tw Cen MT"/>
        </w:rPr>
        <w:t xml:space="preserve"> (se funziona la lavatrice o il condizionatore, i tempi si allungano)</w:t>
      </w:r>
      <w:r w:rsidR="00667ACA">
        <w:rPr>
          <w:rFonts w:ascii="Tw Cen MT" w:hAnsi="Tw Cen MT"/>
        </w:rPr>
        <w:t>. Le colonnine stradali impiegano</w:t>
      </w:r>
      <w:r w:rsidR="007306C4">
        <w:rPr>
          <w:rFonts w:ascii="Tw Cen MT" w:hAnsi="Tw Cen MT"/>
        </w:rPr>
        <w:t xml:space="preserve"> da 4 ore per gli 11 kW a un’ora </w:t>
      </w:r>
      <w:r w:rsidR="00667ACA">
        <w:rPr>
          <w:rFonts w:ascii="Tw Cen MT" w:hAnsi="Tw Cen MT"/>
        </w:rPr>
        <w:t>scarsa per i 43 kW. Grandi aspettative vengono riposte nella ricarica rapida</w:t>
      </w:r>
      <w:r w:rsidR="00E216B2">
        <w:rPr>
          <w:rFonts w:ascii="Tw Cen MT" w:hAnsi="Tw Cen MT"/>
        </w:rPr>
        <w:t xml:space="preserve">, sino a 350 kW in corrente continua con i suoi </w:t>
      </w:r>
      <w:r w:rsidR="00F44EA9">
        <w:rPr>
          <w:rFonts w:ascii="Tw Cen MT" w:hAnsi="Tw Cen MT"/>
        </w:rPr>
        <w:t xml:space="preserve">meno di </w:t>
      </w:r>
      <w:r w:rsidR="00E216B2">
        <w:rPr>
          <w:rFonts w:ascii="Tw Cen MT" w:hAnsi="Tw Cen MT"/>
        </w:rPr>
        <w:t>10 minuti. Secondo l’RTE, l’equivalente tedesco di Terna</w:t>
      </w:r>
      <w:r w:rsidR="00F44EA9">
        <w:rPr>
          <w:rFonts w:ascii="Tw Cen MT" w:hAnsi="Tw Cen MT"/>
        </w:rPr>
        <w:t>,</w:t>
      </w:r>
      <w:r w:rsidR="00E216B2">
        <w:rPr>
          <w:rFonts w:ascii="Tw Cen MT" w:hAnsi="Tw Cen MT"/>
        </w:rPr>
        <w:t xml:space="preserve"> con la ricarica nelle ore serali in ambito domestico, un milione di auto elettriche aumenterebbe la richiesta di picco di 1,1 GW</w:t>
      </w:r>
      <w:r w:rsidR="00F44EA9">
        <w:rPr>
          <w:rFonts w:ascii="Tw Cen MT" w:hAnsi="Tw Cen MT"/>
        </w:rPr>
        <w:t>.</w:t>
      </w:r>
      <w:r w:rsidR="007306C4">
        <w:rPr>
          <w:rFonts w:ascii="Tw Cen MT" w:hAnsi="Tw Cen MT"/>
        </w:rPr>
        <w:t xml:space="preserve"> Quindi più di 7 GW aggiuntivi di potenza immediatamente disponibile.</w:t>
      </w:r>
      <w:r>
        <w:rPr>
          <w:rFonts w:ascii="Tw Cen MT" w:hAnsi="Tw Cen MT"/>
        </w:rPr>
        <w:t xml:space="preserve"> </w:t>
      </w:r>
      <w:r w:rsidR="00E216B2">
        <w:rPr>
          <w:rFonts w:ascii="Tw Cen MT" w:hAnsi="Tw Cen MT"/>
        </w:rPr>
        <w:t>Cosa succederebbe con la diffusione della ricarica rapida, che, non dimentichiamolo, è l’</w:t>
      </w:r>
      <w:r w:rsidR="00EE6F67">
        <w:rPr>
          <w:rFonts w:ascii="Tw Cen MT" w:hAnsi="Tw Cen MT"/>
        </w:rPr>
        <w:t>unico modo (celle</w:t>
      </w:r>
      <w:r w:rsidR="00E216B2">
        <w:rPr>
          <w:rFonts w:ascii="Tw Cen MT" w:hAnsi="Tw Cen MT"/>
        </w:rPr>
        <w:t xml:space="preserve"> a combustibile a par</w:t>
      </w:r>
      <w:r w:rsidR="00EE6F67">
        <w:rPr>
          <w:rFonts w:ascii="Tw Cen MT" w:hAnsi="Tw Cen MT"/>
        </w:rPr>
        <w:t>te) di mantenere con l’elettrico la stessa immediatezza d</w:t>
      </w:r>
      <w:r w:rsidR="00727983">
        <w:rPr>
          <w:rFonts w:ascii="Tw Cen MT" w:hAnsi="Tw Cen MT"/>
        </w:rPr>
        <w:t>el rifornimento di combustibili? Le previsioni sono più difficili, dipendono da t</w:t>
      </w:r>
      <w:r w:rsidR="00333FEA">
        <w:rPr>
          <w:rFonts w:ascii="Tw Cen MT" w:hAnsi="Tw Cen MT"/>
        </w:rPr>
        <w:t xml:space="preserve">roppi fattori. </w:t>
      </w:r>
      <w:r w:rsidR="00333FEA">
        <w:rPr>
          <w:rFonts w:ascii="Tw Cen MT" w:hAnsi="Tw Cen MT"/>
        </w:rPr>
        <w:lastRenderedPageBreak/>
        <w:t>Alcune cose sono certe:</w:t>
      </w:r>
      <w:r w:rsidR="00727983">
        <w:rPr>
          <w:rFonts w:ascii="Tw Cen MT" w:hAnsi="Tw Cen MT"/>
        </w:rPr>
        <w:t xml:space="preserve"> ogni punto di ricarica rapida avrà un certo numero di bocchettoni</w:t>
      </w:r>
      <w:r w:rsidR="00F44EA9">
        <w:rPr>
          <w:rFonts w:ascii="Tw Cen MT" w:hAnsi="Tw Cen MT"/>
        </w:rPr>
        <w:t xml:space="preserve"> in parallelo</w:t>
      </w:r>
      <w:r w:rsidR="00333FEA">
        <w:rPr>
          <w:rFonts w:ascii="Tw Cen MT" w:hAnsi="Tw Cen MT"/>
        </w:rPr>
        <w:t>;</w:t>
      </w:r>
      <w:r w:rsidR="00727983">
        <w:rPr>
          <w:rFonts w:ascii="Tw Cen MT" w:hAnsi="Tw Cen MT"/>
        </w:rPr>
        <w:t xml:space="preserve"> dovrà essere collegato in media tensione per consentire la rica</w:t>
      </w:r>
      <w:r w:rsidR="00333FEA">
        <w:rPr>
          <w:rFonts w:ascii="Tw Cen MT" w:hAnsi="Tw Cen MT"/>
        </w:rPr>
        <w:t xml:space="preserve">rica di più di 12 vetture l’ora; </w:t>
      </w:r>
      <w:r w:rsidR="00727983">
        <w:rPr>
          <w:rFonts w:ascii="Tw Cen MT" w:hAnsi="Tw Cen MT"/>
        </w:rPr>
        <w:t>avrà necessità di un trasformatore da 5-10 MVA (</w:t>
      </w:r>
      <w:proofErr w:type="spellStart"/>
      <w:r w:rsidR="00F44EA9">
        <w:rPr>
          <w:rFonts w:ascii="Tw Cen MT" w:hAnsi="Tw Cen MT"/>
        </w:rPr>
        <w:t>MegaVoltA</w:t>
      </w:r>
      <w:r w:rsidR="00727983">
        <w:rPr>
          <w:rFonts w:ascii="Tw Cen MT" w:hAnsi="Tw Cen MT"/>
        </w:rPr>
        <w:t>mpere</w:t>
      </w:r>
      <w:proofErr w:type="spellEnd"/>
      <w:r w:rsidR="00727983">
        <w:rPr>
          <w:rFonts w:ascii="Tw Cen MT" w:hAnsi="Tw Cen MT"/>
        </w:rPr>
        <w:t>)</w:t>
      </w:r>
      <w:r w:rsidR="00F44EA9">
        <w:rPr>
          <w:rFonts w:ascii="Tw Cen MT" w:hAnsi="Tw Cen MT"/>
        </w:rPr>
        <w:t>. Un punto di assorbimento energia non banale con un profilo di carico complesso, per orari e stagionalità (pensiamo agli esodi e controesodi).</w:t>
      </w:r>
    </w:p>
    <w:p w:rsidR="00F44EA9" w:rsidRDefault="00F44EA9" w:rsidP="003A72DB">
      <w:pPr>
        <w:pStyle w:val="NormaleWeb"/>
        <w:rPr>
          <w:rFonts w:ascii="Tw Cen MT" w:hAnsi="Tw Cen MT"/>
        </w:rPr>
      </w:pPr>
      <w:r>
        <w:rPr>
          <w:rFonts w:ascii="Tw Cen MT" w:hAnsi="Tw Cen MT"/>
        </w:rPr>
        <w:t xml:space="preserve">Quelle che abbiamo delineato sono solo </w:t>
      </w:r>
      <w:r w:rsidR="00333FEA">
        <w:rPr>
          <w:rFonts w:ascii="Tw Cen MT" w:hAnsi="Tw Cen MT"/>
        </w:rPr>
        <w:t xml:space="preserve">alcune delle </w:t>
      </w:r>
      <w:r>
        <w:rPr>
          <w:rFonts w:ascii="Tw Cen MT" w:hAnsi="Tw Cen MT"/>
        </w:rPr>
        <w:t>conseg</w:t>
      </w:r>
      <w:r w:rsidR="008B5320">
        <w:rPr>
          <w:rFonts w:ascii="Tw Cen MT" w:hAnsi="Tw Cen MT"/>
        </w:rPr>
        <w:t>u</w:t>
      </w:r>
      <w:r>
        <w:rPr>
          <w:rFonts w:ascii="Tw Cen MT" w:hAnsi="Tw Cen MT"/>
        </w:rPr>
        <w:t>enze d</w:t>
      </w:r>
      <w:r w:rsidR="008B5320">
        <w:rPr>
          <w:rFonts w:ascii="Tw Cen MT" w:hAnsi="Tw Cen MT"/>
        </w:rPr>
        <w:t>ella transizione elettrica. L’importante</w:t>
      </w:r>
      <w:r w:rsidR="00333FEA">
        <w:rPr>
          <w:rFonts w:ascii="Tw Cen MT" w:hAnsi="Tw Cen MT"/>
        </w:rPr>
        <w:t xml:space="preserve"> è</w:t>
      </w:r>
      <w:r w:rsidR="008B5320">
        <w:rPr>
          <w:rFonts w:ascii="Tw Cen MT" w:hAnsi="Tw Cen MT"/>
        </w:rPr>
        <w:t xml:space="preserve"> che tutte siano previste e abbiano soluzioni realistiche e sostenibili. Un’occasione privilegiata per capire lo stato dell’arte sarà la seconda edizione del Forum Nazionale della Mobilità Elettrica, in programma il prossimo 3 ottobre nell’ambito della Future </w:t>
      </w:r>
      <w:proofErr w:type="spellStart"/>
      <w:r w:rsidR="008B5320">
        <w:rPr>
          <w:rFonts w:ascii="Tw Cen MT" w:hAnsi="Tw Cen MT"/>
        </w:rPr>
        <w:t>Mobility</w:t>
      </w:r>
      <w:proofErr w:type="spellEnd"/>
      <w:r w:rsidR="008B5320">
        <w:rPr>
          <w:rFonts w:ascii="Tw Cen MT" w:hAnsi="Tw Cen MT"/>
        </w:rPr>
        <w:t xml:space="preserve"> Week, a Torino Lingotto-Fiere.</w:t>
      </w:r>
    </w:p>
    <w:p w:rsidR="008B2949" w:rsidRDefault="00B061F4" w:rsidP="00A90D52">
      <w:pPr>
        <w:pStyle w:val="NormaleWeb"/>
        <w:rPr>
          <w:rFonts w:ascii="Tw Cen MT" w:hAnsi="Tw Cen MT"/>
        </w:rPr>
      </w:pPr>
      <w:r>
        <w:rPr>
          <w:rFonts w:ascii="Tw Cen MT" w:hAnsi="Tw Cen MT"/>
        </w:rPr>
        <w:t>Futu</w:t>
      </w:r>
      <w:r w:rsidR="00673C86">
        <w:rPr>
          <w:rFonts w:ascii="Tw Cen MT" w:hAnsi="Tw Cen MT"/>
        </w:rPr>
        <w:t xml:space="preserve">re </w:t>
      </w:r>
      <w:proofErr w:type="spellStart"/>
      <w:r w:rsidR="00673C86">
        <w:rPr>
          <w:rFonts w:ascii="Tw Cen MT" w:hAnsi="Tw Cen MT"/>
        </w:rPr>
        <w:t>Mobility</w:t>
      </w:r>
      <w:proofErr w:type="spellEnd"/>
      <w:r w:rsidR="00673C86">
        <w:rPr>
          <w:rFonts w:ascii="Tw Cen MT" w:hAnsi="Tw Cen MT"/>
        </w:rPr>
        <w:t xml:space="preserve"> Week da</w:t>
      </w:r>
      <w:r w:rsidR="00673C86" w:rsidRPr="00673C86">
        <w:rPr>
          <w:rFonts w:ascii="Tw Cen MT" w:hAnsi="Tw Cen MT"/>
        </w:rPr>
        <w:t xml:space="preserve">l’1 al 5 ottobre Torino sarà </w:t>
      </w:r>
      <w:r w:rsidR="00673C86">
        <w:rPr>
          <w:rFonts w:ascii="Tw Cen MT" w:hAnsi="Tw Cen MT"/>
        </w:rPr>
        <w:t>la</w:t>
      </w:r>
      <w:r w:rsidR="00673C86" w:rsidRPr="00673C86">
        <w:rPr>
          <w:rFonts w:ascii="Tw Cen MT" w:hAnsi="Tw Cen MT"/>
        </w:rPr>
        <w:t xml:space="preserve"> più completa rassegna sull'hardware, il software ed i servizi per la mobilità nuova, che cambia le abitudini, le infrastrutture, la città, la società e l’economia. </w:t>
      </w:r>
      <w:r w:rsidR="00673C86">
        <w:rPr>
          <w:rFonts w:ascii="Tw Cen MT" w:hAnsi="Tw Cen MT"/>
        </w:rPr>
        <w:t xml:space="preserve">FMW </w:t>
      </w:r>
      <w:r>
        <w:rPr>
          <w:rFonts w:ascii="Tw Cen MT" w:hAnsi="Tw Cen MT"/>
        </w:rPr>
        <w:t>nasce d</w:t>
      </w:r>
      <w:r w:rsidR="00A90D52" w:rsidRPr="00A90D52">
        <w:rPr>
          <w:rFonts w:ascii="Tw Cen MT" w:hAnsi="Tw Cen MT"/>
        </w:rPr>
        <w:t xml:space="preserve">all’esperienza di </w:t>
      </w:r>
      <w:r w:rsidR="008B5320">
        <w:rPr>
          <w:rFonts w:ascii="Tw Cen MT" w:hAnsi="Tw Cen MT"/>
          <w:b/>
          <w:bCs/>
        </w:rPr>
        <w:t xml:space="preserve">GL </w:t>
      </w:r>
      <w:proofErr w:type="spellStart"/>
      <w:r w:rsidR="008B5320">
        <w:rPr>
          <w:rFonts w:ascii="Tw Cen MT" w:hAnsi="Tw Cen MT"/>
          <w:b/>
          <w:bCs/>
        </w:rPr>
        <w:t>events</w:t>
      </w:r>
      <w:proofErr w:type="spellEnd"/>
      <w:r w:rsidR="008B5320">
        <w:rPr>
          <w:rFonts w:ascii="Tw Cen MT" w:hAnsi="Tw Cen MT"/>
          <w:b/>
          <w:bCs/>
        </w:rPr>
        <w:t xml:space="preserve"> e </w:t>
      </w:r>
      <w:proofErr w:type="spellStart"/>
      <w:r w:rsidR="008B5320">
        <w:rPr>
          <w:rFonts w:ascii="Tw Cen MT" w:hAnsi="Tw Cen MT"/>
          <w:b/>
          <w:bCs/>
        </w:rPr>
        <w:t>Clickutility</w:t>
      </w:r>
      <w:proofErr w:type="spellEnd"/>
      <w:r w:rsidR="008B5320">
        <w:rPr>
          <w:rFonts w:ascii="Tw Cen MT" w:hAnsi="Tw Cen MT"/>
          <w:b/>
          <w:bCs/>
        </w:rPr>
        <w:t xml:space="preserve"> Team</w:t>
      </w:r>
      <w:r>
        <w:rPr>
          <w:rFonts w:ascii="Tw Cen MT" w:hAnsi="Tw Cen MT"/>
          <w:b/>
          <w:bCs/>
        </w:rPr>
        <w:t>,</w:t>
      </w:r>
      <w:r w:rsidR="008B5320">
        <w:rPr>
          <w:rFonts w:ascii="Tw Cen MT" w:hAnsi="Tw Cen MT"/>
          <w:b/>
          <w:bCs/>
        </w:rPr>
        <w:t xml:space="preserve"> </w:t>
      </w:r>
      <w:r w:rsidR="00A90D52" w:rsidRPr="00A90D52">
        <w:rPr>
          <w:rFonts w:ascii="Tw Cen MT" w:hAnsi="Tw Cen MT"/>
        </w:rPr>
        <w:t>da</w:t>
      </w:r>
      <w:r w:rsidR="00A90D52" w:rsidRPr="00A90D52">
        <w:rPr>
          <w:rFonts w:ascii="Tw Cen MT" w:hAnsi="Tw Cen MT"/>
          <w:b/>
          <w:bCs/>
        </w:rPr>
        <w:t xml:space="preserve"> </w:t>
      </w:r>
      <w:r w:rsidR="00A90D52" w:rsidRPr="00A90D52">
        <w:rPr>
          <w:rFonts w:ascii="Tw Cen MT" w:hAnsi="Tw Cen MT"/>
        </w:rPr>
        <w:t xml:space="preserve">cinque anni co-organizzatori di Smart </w:t>
      </w:r>
      <w:proofErr w:type="spellStart"/>
      <w:r w:rsidR="00A90D52" w:rsidRPr="00A90D52">
        <w:rPr>
          <w:rFonts w:ascii="Tw Cen MT" w:hAnsi="Tw Cen MT"/>
        </w:rPr>
        <w:t>Mobility</w:t>
      </w:r>
      <w:proofErr w:type="spellEnd"/>
      <w:r w:rsidR="00A90D52" w:rsidRPr="00A90D52">
        <w:rPr>
          <w:rFonts w:ascii="Tw Cen MT" w:hAnsi="Tw Cen MT"/>
        </w:rPr>
        <w:t xml:space="preserve"> World nel mondo della mobilità</w:t>
      </w:r>
      <w:r>
        <w:rPr>
          <w:rFonts w:ascii="Tw Cen MT" w:hAnsi="Tw Cen MT"/>
        </w:rPr>
        <w:t>.</w:t>
      </w:r>
    </w:p>
    <w:p w:rsidR="00D45911" w:rsidRDefault="00D45911" w:rsidP="00D45911">
      <w:pPr>
        <w:pStyle w:val="NormaleWeb"/>
        <w:rPr>
          <w:rFonts w:ascii="Tw Cen MT" w:hAnsi="Tw Cen MT"/>
        </w:rPr>
      </w:pPr>
      <w:r>
        <w:rPr>
          <w:rFonts w:ascii="Tw Cen MT" w:hAnsi="Tw Cen MT"/>
        </w:rPr>
        <w:t>*Dati tratti dal Rapporto Mensile sul Sistema Elettrico gennaio 2018 di Terna Spa</w:t>
      </w:r>
    </w:p>
    <w:p w:rsidR="00333FEA" w:rsidRDefault="00333FEA" w:rsidP="00333FEA">
      <w:pPr>
        <w:pStyle w:val="NormaleWeb"/>
        <w:spacing w:line="240" w:lineRule="exact"/>
        <w:jc w:val="both"/>
        <w:rPr>
          <w:rFonts w:ascii="Tw Cen MT" w:hAnsi="Tw Cen MT"/>
          <w:b/>
        </w:rPr>
      </w:pPr>
    </w:p>
    <w:p w:rsidR="00333FEA" w:rsidRPr="00C93A9B" w:rsidRDefault="00333FEA" w:rsidP="00333FEA">
      <w:pPr>
        <w:pStyle w:val="NormaleWeb"/>
        <w:spacing w:line="240" w:lineRule="exact"/>
        <w:jc w:val="both"/>
        <w:rPr>
          <w:rFonts w:ascii="Tw Cen MT" w:hAnsi="Tw Cen MT"/>
          <w:b/>
        </w:rPr>
      </w:pPr>
      <w:r w:rsidRPr="00C93A9B">
        <w:rPr>
          <w:rFonts w:ascii="Tw Cen MT" w:hAnsi="Tw Cen MT"/>
          <w:b/>
        </w:rPr>
        <w:t xml:space="preserve">Ufficio Stampa Future </w:t>
      </w:r>
      <w:proofErr w:type="spellStart"/>
      <w:r w:rsidRPr="00C93A9B">
        <w:rPr>
          <w:rFonts w:ascii="Tw Cen MT" w:hAnsi="Tw Cen MT"/>
          <w:b/>
        </w:rPr>
        <w:t>Mobility</w:t>
      </w:r>
      <w:proofErr w:type="spellEnd"/>
      <w:r w:rsidRPr="00C93A9B">
        <w:rPr>
          <w:rFonts w:ascii="Tw Cen MT" w:hAnsi="Tw Cen MT"/>
          <w:b/>
        </w:rPr>
        <w:t xml:space="preserve"> W</w:t>
      </w:r>
      <w:r>
        <w:rPr>
          <w:rFonts w:ascii="Tw Cen MT" w:hAnsi="Tw Cen MT"/>
          <w:b/>
        </w:rPr>
        <w:t>eek</w:t>
      </w:r>
      <w:r w:rsidRPr="00C93A9B">
        <w:rPr>
          <w:rFonts w:ascii="Tw Cen MT" w:hAnsi="Tw Cen MT"/>
          <w:b/>
        </w:rPr>
        <w:t xml:space="preserve"> 2018</w:t>
      </w:r>
    </w:p>
    <w:p w:rsidR="00333FEA" w:rsidRPr="004A3FAD" w:rsidRDefault="00333FEA" w:rsidP="00333FEA">
      <w:pPr>
        <w:pStyle w:val="NormaleWeb"/>
        <w:spacing w:line="240" w:lineRule="exact"/>
        <w:jc w:val="both"/>
        <w:rPr>
          <w:rFonts w:ascii="Tw Cen MT" w:hAnsi="Tw Cen MT"/>
        </w:rPr>
      </w:pPr>
      <w:r w:rsidRPr="004A3FAD">
        <w:rPr>
          <w:rFonts w:ascii="Tw Cen MT" w:hAnsi="Tw Cen MT"/>
        </w:rPr>
        <w:t>Studio Comelli</w:t>
      </w:r>
    </w:p>
    <w:p w:rsidR="00333FEA" w:rsidRPr="004A3FAD" w:rsidRDefault="00333FEA" w:rsidP="00333FEA">
      <w:pPr>
        <w:pStyle w:val="NormaleWeb"/>
        <w:spacing w:line="240" w:lineRule="exact"/>
        <w:jc w:val="both"/>
        <w:rPr>
          <w:rFonts w:ascii="Tw Cen MT" w:hAnsi="Tw Cen MT"/>
        </w:rPr>
      </w:pPr>
      <w:r>
        <w:rPr>
          <w:rFonts w:ascii="Tw Cen MT" w:hAnsi="Tw Cen MT"/>
        </w:rPr>
        <w:t>press@studiocomelli.eu</w:t>
      </w:r>
    </w:p>
    <w:p w:rsidR="00333FEA" w:rsidRPr="004A3FAD" w:rsidRDefault="00333FEA" w:rsidP="00333FEA">
      <w:pPr>
        <w:pStyle w:val="NormaleWeb"/>
        <w:spacing w:line="240" w:lineRule="exact"/>
        <w:jc w:val="both"/>
        <w:rPr>
          <w:rFonts w:ascii="Tw Cen MT" w:hAnsi="Tw Cen MT"/>
        </w:rPr>
      </w:pPr>
      <w:r w:rsidRPr="004A3FAD">
        <w:rPr>
          <w:rFonts w:ascii="Tw Cen MT" w:hAnsi="Tw Cen MT"/>
        </w:rPr>
        <w:t>Tel. + 39 02 22228345</w:t>
      </w:r>
    </w:p>
    <w:p w:rsidR="00333FEA" w:rsidRPr="00D45911" w:rsidRDefault="00333FEA" w:rsidP="00D45911">
      <w:pPr>
        <w:pStyle w:val="NormaleWeb"/>
        <w:rPr>
          <w:rFonts w:ascii="Tw Cen MT" w:hAnsi="Tw Cen MT"/>
        </w:rPr>
      </w:pPr>
    </w:p>
    <w:sectPr w:rsidR="00333FEA" w:rsidRPr="00D45911" w:rsidSect="008A25EA">
      <w:headerReference w:type="default" r:id="rId7"/>
      <w:footerReference w:type="default" r:id="rId8"/>
      <w:pgSz w:w="11906" w:h="16838"/>
      <w:pgMar w:top="3119" w:right="1080" w:bottom="1440" w:left="709" w:header="426" w:footer="713"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0D1" w:rsidRDefault="003650D1" w:rsidP="008B2949">
      <w:r>
        <w:separator/>
      </w:r>
    </w:p>
  </w:endnote>
  <w:endnote w:type="continuationSeparator" w:id="0">
    <w:p w:rsidR="003650D1" w:rsidRDefault="003650D1" w:rsidP="008B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Lucida Sans Unicode"/>
    <w:panose1 w:val="020B0602020104020603"/>
    <w:charset w:val="00"/>
    <w:family w:val="swiss"/>
    <w:pitch w:val="variable"/>
    <w:sig w:usb0="00000007" w:usb1="00000000" w:usb2="00000000" w:usb3="00000000" w:csb0="00000003" w:csb1="00000000"/>
  </w:font>
  <w:font w:name="Futura">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3D" w:rsidRPr="002F2D2D" w:rsidRDefault="00B061F4" w:rsidP="00ED3571">
    <w:pPr>
      <w:jc w:val="right"/>
      <w:rPr>
        <w:rFonts w:ascii="Futura" w:hAnsi="Futura"/>
        <w:color w:val="595959"/>
      </w:rPr>
    </w:pPr>
    <w:r>
      <w:rPr>
        <w:noProof/>
        <w:color w:val="595959"/>
      </w:rPr>
      <w:drawing>
        <wp:anchor distT="0" distB="0" distL="114300" distR="114300" simplePos="0" relativeHeight="251657728" behindDoc="1" locked="0" layoutInCell="1" allowOverlap="1">
          <wp:simplePos x="0" y="0"/>
          <wp:positionH relativeFrom="column">
            <wp:posOffset>6985</wp:posOffset>
          </wp:positionH>
          <wp:positionV relativeFrom="paragraph">
            <wp:posOffset>-98425</wp:posOffset>
          </wp:positionV>
          <wp:extent cx="6419850" cy="676275"/>
          <wp:effectExtent l="0" t="0" r="0" b="952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26042"/>
                  <a:stretch>
                    <a:fillRect/>
                  </a:stretch>
                </pic:blipFill>
                <pic:spPr bwMode="auto">
                  <a:xfrm>
                    <a:off x="0" y="0"/>
                    <a:ext cx="64198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B3D" w:rsidRPr="002F2D2D">
      <w:rPr>
        <w:rFonts w:ascii="Futura" w:hAnsi="Futura"/>
        <w:color w:val="595959"/>
      </w:rPr>
      <w:t>info@fmweek.it</w:t>
    </w:r>
  </w:p>
  <w:p w:rsidR="00C62561" w:rsidRPr="002F2D2D" w:rsidRDefault="00ED3571" w:rsidP="00ED3571">
    <w:pPr>
      <w:jc w:val="right"/>
      <w:rPr>
        <w:rFonts w:ascii="Futura" w:hAnsi="Futura"/>
        <w:color w:val="595959"/>
      </w:rPr>
    </w:pPr>
    <w:r w:rsidRPr="002F2D2D">
      <w:rPr>
        <w:rFonts w:ascii="Futura" w:hAnsi="Futura"/>
        <w:color w:val="595959"/>
      </w:rPr>
      <w:t>www.fmweek.it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0D1" w:rsidRDefault="003650D1" w:rsidP="008B2949">
      <w:r>
        <w:separator/>
      </w:r>
    </w:p>
  </w:footnote>
  <w:footnote w:type="continuationSeparator" w:id="0">
    <w:p w:rsidR="003650D1" w:rsidRDefault="003650D1" w:rsidP="008B2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49" w:rsidRDefault="00B061F4" w:rsidP="00ED3571">
    <w:pPr>
      <w:pStyle w:val="Intestazione"/>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4502785</wp:posOffset>
              </wp:positionH>
              <wp:positionV relativeFrom="paragraph">
                <wp:posOffset>586740</wp:posOffset>
              </wp:positionV>
              <wp:extent cx="1609725" cy="295275"/>
              <wp:effectExtent l="0" t="0" r="254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B36" w:rsidRPr="00FD7C4F" w:rsidRDefault="00AB6B36" w:rsidP="00AB6B36">
                          <w:pPr>
                            <w:jc w:val="right"/>
                            <w:rPr>
                              <w:rFonts w:ascii="Futura" w:hAnsi="Futura"/>
                              <w:b/>
                              <w:color w:val="626260"/>
                            </w:rPr>
                          </w:pPr>
                          <w:r w:rsidRPr="00FD7C4F">
                            <w:rPr>
                              <w:rFonts w:ascii="Futura" w:hAnsi="Futura"/>
                              <w:b/>
                              <w:color w:val="626260"/>
                            </w:rPr>
                            <w:t>1-5 ottobre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54.55pt;margin-top:46.2pt;width:126.7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yggIAAA8FAAAOAAAAZHJzL2Uyb0RvYy54bWysVMlu2zAQvRfoPxC8O1ogLxIiB1nqokC6&#10;AEk/gCYpiyhFsiRtKS3y7x1StqMuh6KoDhSX4Zs3M294eTV0Eh24dUKrGmcXKUZcUc2E2tX48+Nm&#10;tsLIeaIYkVrxGj9xh6/Wr19d9qbiuW61ZNwiAFGu6k2NW+9NlSSOtrwj7kIbruCw0bYjHpZ2lzBL&#10;ekDvZJKn6SLptWXGasqdg9278RCvI37TcOo/No3jHskaAzcfRxvHbRiT9SWpdpaYVtAjDfIPLDoi&#10;FDg9Q90RT9Deit+gOkGtdrrxF1R3iW4aQXmMAaLJ0l+ieWiJ4TEWSI4z5zS5/wdLPxw+WSQY1A4j&#10;RToo0SMfPLrRAypDdnrjKjB6MGDmB9gOliFSZ+41/eKQ0rctUTt+ba3uW04YsMvCzWRydcRxAWTb&#10;v9cM3JC91xFoaGwXACEZCNChSk/nygQqNLhcpOUyn2NE4Swv5/lyHl2Q6nTbWOffct2hMKmxhcpH&#10;dHK4dz6wIdXJJLLXUrCNkDIu7G57Ky06EFDJJn5HdDc1kyoYKx2ujYjjDpAEH+Es0I1V/15meZHe&#10;5OVss1gtZ8WmmM/KZbqapVl5Uy7SoizuNs+BYFZUrWCMq3uh+EmBWfF3FT72wqidqEHU1xjSMx9L&#10;NGXvpkGm8ftTkJ3w0JBSdDVenY1IFQr7RjEIm1SeCDnOk5/pxyxDDk7/mJUog1D5UQN+2A6AErSx&#10;1ewJBGE11AuqDq8ITFptv2HUQ0fW2H3dE8sxku8UiKrMiiK0cFwU82UOCzs92U5PiKIAVWOP0Ti9&#10;9WPb740VuxY8jTJW+hqE2IiokRdWR/lC18Vgji9EaOvpOlq9vGPrHwAAAP//AwBQSwMEFAAGAAgA&#10;AAAhAIw14VzfAAAACgEAAA8AAABkcnMvZG93bnJldi54bWxMj9FOg0AQRd9N/IfNNPHF2KVYoYss&#10;jZpo+traD1hgCqTsLGG3hf6945M+Tu7JvWfy7Wx7ccXRd440rJYRCKTK1R01Go7fn08bED4Yqk3v&#10;CDXc0MO2uL/LTVa7ifZ4PYRGcAn5zGhoQxgyKX3VojV+6QYkzk5utCbwOTayHs3E5baXcRQl0pqO&#10;eKE1A360WJ0PF6vhtJseX9RUfoVjul8n76ZLS3fT+mExv72CCDiHPxh+9VkdCnYq3YVqL3oNaaRW&#10;jGpQ8RoEAyqJExAlk88bBbLI5f8Xih8AAAD//wMAUEsBAi0AFAAGAAgAAAAhALaDOJL+AAAA4QEA&#10;ABMAAAAAAAAAAAAAAAAAAAAAAFtDb250ZW50X1R5cGVzXS54bWxQSwECLQAUAAYACAAAACEAOP0h&#10;/9YAAACUAQAACwAAAAAAAAAAAAAAAAAvAQAAX3JlbHMvLnJlbHNQSwECLQAUAAYACAAAACEAlCvk&#10;coICAAAPBQAADgAAAAAAAAAAAAAAAAAuAgAAZHJzL2Uyb0RvYy54bWxQSwECLQAUAAYACAAAACEA&#10;jDXhXN8AAAAKAQAADwAAAAAAAAAAAAAAAADcBAAAZHJzL2Rvd25yZXYueG1sUEsFBgAAAAAEAAQA&#10;8wAAAOgFAAAAAA==&#10;" stroked="f">
              <v:textbox>
                <w:txbxContent>
                  <w:p w:rsidR="00AB6B36" w:rsidRPr="00FD7C4F" w:rsidRDefault="00AB6B36" w:rsidP="00AB6B36">
                    <w:pPr>
                      <w:jc w:val="right"/>
                      <w:rPr>
                        <w:rFonts w:ascii="Futura" w:hAnsi="Futura"/>
                        <w:b/>
                        <w:color w:val="626260"/>
                      </w:rPr>
                    </w:pPr>
                    <w:r w:rsidRPr="00FD7C4F">
                      <w:rPr>
                        <w:rFonts w:ascii="Futura" w:hAnsi="Futura"/>
                        <w:b/>
                        <w:color w:val="626260"/>
                      </w:rPr>
                      <w:t>1-5 ottobre 2018</w:t>
                    </w:r>
                  </w:p>
                </w:txbxContent>
              </v:textbox>
            </v:shape>
          </w:pict>
        </mc:Fallback>
      </mc:AlternateContent>
    </w:r>
    <w:r>
      <w:rPr>
        <w:noProof/>
      </w:rPr>
      <w:drawing>
        <wp:anchor distT="0" distB="0" distL="114300" distR="114300" simplePos="0" relativeHeight="251656704" behindDoc="1" locked="0" layoutInCell="1" allowOverlap="1">
          <wp:simplePos x="0" y="0"/>
          <wp:positionH relativeFrom="column">
            <wp:posOffset>6985</wp:posOffset>
          </wp:positionH>
          <wp:positionV relativeFrom="paragraph">
            <wp:posOffset>5715</wp:posOffset>
          </wp:positionV>
          <wp:extent cx="6419850" cy="133350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06D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1CF731C"/>
    <w:multiLevelType w:val="hybridMultilevel"/>
    <w:tmpl w:val="CB60A972"/>
    <w:lvl w:ilvl="0" w:tplc="1A6C14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32390B"/>
    <w:multiLevelType w:val="hybridMultilevel"/>
    <w:tmpl w:val="06EE21F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CB7723"/>
    <w:multiLevelType w:val="hybridMultilevel"/>
    <w:tmpl w:val="A55AF958"/>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98B1376"/>
    <w:multiLevelType w:val="hybridMultilevel"/>
    <w:tmpl w:val="A746C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A04"/>
    <w:rsid w:val="00017450"/>
    <w:rsid w:val="000936BA"/>
    <w:rsid w:val="001442A4"/>
    <w:rsid w:val="00276BB2"/>
    <w:rsid w:val="0028460C"/>
    <w:rsid w:val="00294867"/>
    <w:rsid w:val="002B3655"/>
    <w:rsid w:val="002F2D2D"/>
    <w:rsid w:val="002F7DED"/>
    <w:rsid w:val="00333FEA"/>
    <w:rsid w:val="00343F46"/>
    <w:rsid w:val="003650D1"/>
    <w:rsid w:val="00365976"/>
    <w:rsid w:val="0037369B"/>
    <w:rsid w:val="003818D4"/>
    <w:rsid w:val="00383C8E"/>
    <w:rsid w:val="00392899"/>
    <w:rsid w:val="00395C71"/>
    <w:rsid w:val="003A72DB"/>
    <w:rsid w:val="00436674"/>
    <w:rsid w:val="00442C8D"/>
    <w:rsid w:val="00471CEB"/>
    <w:rsid w:val="00482F85"/>
    <w:rsid w:val="005337C4"/>
    <w:rsid w:val="00565932"/>
    <w:rsid w:val="00576A04"/>
    <w:rsid w:val="00667ACA"/>
    <w:rsid w:val="00673C86"/>
    <w:rsid w:val="006A2502"/>
    <w:rsid w:val="006C5737"/>
    <w:rsid w:val="006E2EA5"/>
    <w:rsid w:val="006E4ECA"/>
    <w:rsid w:val="006F4AA8"/>
    <w:rsid w:val="00727983"/>
    <w:rsid w:val="007306C4"/>
    <w:rsid w:val="0074662A"/>
    <w:rsid w:val="007A29BE"/>
    <w:rsid w:val="007B3800"/>
    <w:rsid w:val="007C49C2"/>
    <w:rsid w:val="00846BB4"/>
    <w:rsid w:val="00862773"/>
    <w:rsid w:val="00866AE9"/>
    <w:rsid w:val="008711F1"/>
    <w:rsid w:val="008A25EA"/>
    <w:rsid w:val="008A52C2"/>
    <w:rsid w:val="008B2949"/>
    <w:rsid w:val="008B5320"/>
    <w:rsid w:val="008B76ED"/>
    <w:rsid w:val="00907907"/>
    <w:rsid w:val="0091459C"/>
    <w:rsid w:val="00966261"/>
    <w:rsid w:val="00994D8D"/>
    <w:rsid w:val="009C4C13"/>
    <w:rsid w:val="009D2350"/>
    <w:rsid w:val="009E5EEF"/>
    <w:rsid w:val="009F4FA1"/>
    <w:rsid w:val="00A90D52"/>
    <w:rsid w:val="00AB38A4"/>
    <w:rsid w:val="00AB6B36"/>
    <w:rsid w:val="00B061F4"/>
    <w:rsid w:val="00BC7B3D"/>
    <w:rsid w:val="00BD225F"/>
    <w:rsid w:val="00BE168E"/>
    <w:rsid w:val="00C62561"/>
    <w:rsid w:val="00C736E0"/>
    <w:rsid w:val="00CF7CBA"/>
    <w:rsid w:val="00D45911"/>
    <w:rsid w:val="00E216B2"/>
    <w:rsid w:val="00E2214A"/>
    <w:rsid w:val="00E34DAF"/>
    <w:rsid w:val="00EB12B7"/>
    <w:rsid w:val="00EB2E40"/>
    <w:rsid w:val="00EC5B6C"/>
    <w:rsid w:val="00ED3571"/>
    <w:rsid w:val="00EE6F67"/>
    <w:rsid w:val="00EF7BAC"/>
    <w:rsid w:val="00F44EA9"/>
    <w:rsid w:val="00F84078"/>
    <w:rsid w:val="00FD6912"/>
    <w:rsid w:val="00FD7C4F"/>
    <w:rsid w:val="00FF3D56"/>
    <w:rsid w:val="00FF6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2D85B66"/>
  <w15:docId w15:val="{4044D6AB-D691-4FB8-868C-40278366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rPr>
  </w:style>
  <w:style w:type="paragraph" w:styleId="Titolo2">
    <w:name w:val="heading 2"/>
    <w:basedOn w:val="Normale"/>
    <w:next w:val="Normale"/>
    <w:link w:val="Titolo2Carattere"/>
    <w:qFormat/>
    <w:rsid w:val="00232A5D"/>
    <w:pPr>
      <w:keepNext/>
      <w:ind w:left="284"/>
      <w:jc w:val="right"/>
      <w:outlineLvl w:val="1"/>
    </w:pPr>
    <w:rPr>
      <w:rFonts w:ascii="Tahoma" w:hAnsi="Tahoma"/>
      <w:b/>
      <w:u w:val="single"/>
      <w:lang w:val="x-none" w:eastAsia="x-none"/>
    </w:rPr>
  </w:style>
  <w:style w:type="paragraph" w:styleId="Titolo5">
    <w:name w:val="heading 5"/>
    <w:basedOn w:val="Normale"/>
    <w:next w:val="Normale"/>
    <w:link w:val="Titolo5Carattere"/>
    <w:qFormat/>
    <w:rsid w:val="00232A5D"/>
    <w:pPr>
      <w:keepNext/>
      <w:jc w:val="both"/>
      <w:outlineLvl w:val="4"/>
    </w:pPr>
    <w:rPr>
      <w:rFonts w:ascii="Tahoma" w:hAnsi="Tahoma"/>
      <w:b/>
      <w:bCs/>
      <w:sz w:val="22"/>
      <w:u w:val="single"/>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customStyle="1" w:styleId="Titolo2Carattere">
    <w:name w:val="Titolo 2 Carattere"/>
    <w:link w:val="Titolo2"/>
    <w:rsid w:val="00232A5D"/>
    <w:rPr>
      <w:rFonts w:ascii="Tahoma" w:hAnsi="Tahoma" w:cs="Tahoma"/>
      <w:b/>
      <w:sz w:val="24"/>
      <w:u w:val="single"/>
    </w:rPr>
  </w:style>
  <w:style w:type="character" w:customStyle="1" w:styleId="Titolo5Carattere">
    <w:name w:val="Titolo 5 Carattere"/>
    <w:link w:val="Titolo5"/>
    <w:rsid w:val="00232A5D"/>
    <w:rPr>
      <w:rFonts w:ascii="Tahoma" w:hAnsi="Tahoma" w:cs="Tahoma"/>
      <w:b/>
      <w:bCs/>
      <w:sz w:val="22"/>
      <w:u w:val="single"/>
    </w:rPr>
  </w:style>
  <w:style w:type="paragraph" w:styleId="Corpotesto">
    <w:name w:val="Body Text"/>
    <w:basedOn w:val="Normale"/>
    <w:link w:val="CorpotestoCarattere"/>
    <w:rsid w:val="00232A5D"/>
    <w:pPr>
      <w:jc w:val="both"/>
    </w:pPr>
    <w:rPr>
      <w:rFonts w:ascii="Times New Roman" w:eastAsia="Times New Roman" w:hAnsi="Times New Roman"/>
      <w:szCs w:val="24"/>
      <w:lang w:val="x-none" w:eastAsia="x-none"/>
    </w:rPr>
  </w:style>
  <w:style w:type="character" w:customStyle="1" w:styleId="CorpotestoCarattere">
    <w:name w:val="Corpo testo Carattere"/>
    <w:link w:val="Corpotesto"/>
    <w:rsid w:val="00232A5D"/>
    <w:rPr>
      <w:rFonts w:ascii="Times New Roman" w:eastAsia="Times New Roman" w:hAnsi="Times New Roman"/>
      <w:sz w:val="24"/>
      <w:szCs w:val="24"/>
    </w:rPr>
  </w:style>
  <w:style w:type="character" w:styleId="Collegamentoipertestuale">
    <w:name w:val="Hyperlink"/>
    <w:rsid w:val="0028460C"/>
    <w:rPr>
      <w:color w:val="0000FF"/>
      <w:u w:val="single"/>
    </w:rPr>
  </w:style>
  <w:style w:type="paragraph" w:customStyle="1" w:styleId="Default">
    <w:name w:val="Default"/>
    <w:rsid w:val="00907907"/>
    <w:pPr>
      <w:autoSpaceDE w:val="0"/>
      <w:autoSpaceDN w:val="0"/>
      <w:adjustRightInd w:val="0"/>
    </w:pPr>
    <w:rPr>
      <w:rFonts w:ascii="Wingdings" w:hAnsi="Wingdings" w:cs="Wingdings"/>
      <w:color w:val="000000"/>
      <w:sz w:val="24"/>
      <w:szCs w:val="24"/>
    </w:rPr>
  </w:style>
  <w:style w:type="paragraph" w:styleId="PreformattatoHTML">
    <w:name w:val="HTML Preformatted"/>
    <w:basedOn w:val="Normale"/>
    <w:link w:val="PreformattatoHTMLCarattere"/>
    <w:uiPriority w:val="99"/>
    <w:semiHidden/>
    <w:unhideWhenUsed/>
    <w:rsid w:val="003A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link w:val="PreformattatoHTML"/>
    <w:uiPriority w:val="99"/>
    <w:semiHidden/>
    <w:rsid w:val="003A72DB"/>
    <w:rPr>
      <w:rFonts w:ascii="Courier New" w:eastAsia="Times New Roman" w:hAnsi="Courier New" w:cs="Courier New"/>
    </w:rPr>
  </w:style>
  <w:style w:type="paragraph" w:styleId="NormaleWeb">
    <w:name w:val="Normal (Web)"/>
    <w:basedOn w:val="Normale"/>
    <w:uiPriority w:val="99"/>
    <w:unhideWhenUsed/>
    <w:rsid w:val="003A72DB"/>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360574">
      <w:bodyDiv w:val="1"/>
      <w:marLeft w:val="0"/>
      <w:marRight w:val="0"/>
      <w:marTop w:val="0"/>
      <w:marBottom w:val="0"/>
      <w:divBdr>
        <w:top w:val="none" w:sz="0" w:space="0" w:color="auto"/>
        <w:left w:val="none" w:sz="0" w:space="0" w:color="auto"/>
        <w:bottom w:val="none" w:sz="0" w:space="0" w:color="auto"/>
        <w:right w:val="none" w:sz="0" w:space="0" w:color="auto"/>
      </w:divBdr>
    </w:div>
    <w:div w:id="1213343768">
      <w:bodyDiv w:val="1"/>
      <w:marLeft w:val="0"/>
      <w:marRight w:val="0"/>
      <w:marTop w:val="0"/>
      <w:marBottom w:val="0"/>
      <w:divBdr>
        <w:top w:val="none" w:sz="0" w:space="0" w:color="auto"/>
        <w:left w:val="none" w:sz="0" w:space="0" w:color="auto"/>
        <w:bottom w:val="none" w:sz="0" w:space="0" w:color="auto"/>
        <w:right w:val="none" w:sz="0" w:space="0" w:color="auto"/>
      </w:divBdr>
    </w:div>
    <w:div w:id="1921211362">
      <w:bodyDiv w:val="1"/>
      <w:marLeft w:val="0"/>
      <w:marRight w:val="0"/>
      <w:marTop w:val="0"/>
      <w:marBottom w:val="0"/>
      <w:divBdr>
        <w:top w:val="none" w:sz="0" w:space="0" w:color="auto"/>
        <w:left w:val="none" w:sz="0" w:space="0" w:color="auto"/>
        <w:bottom w:val="none" w:sz="0" w:space="0" w:color="auto"/>
        <w:right w:val="none" w:sz="0" w:space="0" w:color="auto"/>
      </w:divBdr>
      <w:divsChild>
        <w:div w:id="361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734</Words>
  <Characters>4185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Verdana 10</vt:lpstr>
    </vt:vector>
  </TitlesOfParts>
  <Company>xxx</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Verdana 10</dc:title>
  <dc:creator>------- -------</dc:creator>
  <cp:lastModifiedBy>Aurora Marin</cp:lastModifiedBy>
  <cp:revision>4</cp:revision>
  <cp:lastPrinted>2018-07-18T09:30:00Z</cp:lastPrinted>
  <dcterms:created xsi:type="dcterms:W3CDTF">2018-07-18T09:30:00Z</dcterms:created>
  <dcterms:modified xsi:type="dcterms:W3CDTF">2018-07-19T13:21:00Z</dcterms:modified>
</cp:coreProperties>
</file>